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FE" w:rsidRDefault="00FF53FE" w:rsidP="00FF53FE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Interference</w:t>
      </w:r>
    </w:p>
    <w:p w:rsidR="00FF53FE" w:rsidRDefault="00FF53FE" w:rsidP="00FF5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Interferencí rozumíme sčítání (skládání) dvou či více vlnění, které procházejí tímtéž prostředím (viz. 3. ročník).</w:t>
      </w:r>
    </w:p>
    <w:p w:rsidR="00FF53FE" w:rsidRDefault="00FF53FE" w:rsidP="00FF53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Protože na světlo lze pohlížet jako na druh vlnění, skládají se účinky i těchto vlnění</w:t>
      </w:r>
      <w:r w:rsidR="00C73FF0">
        <w:rPr>
          <w:rFonts w:ascii="Times New Roman" w:hAnsi="Times New Roman" w:cs="Times New Roman"/>
          <w:sz w:val="24"/>
          <w:szCs w:val="24"/>
        </w:rPr>
        <w:t>. Za normálních podmínek však zesílení a zeslabení světla na stínítku nevidíme. Příčinou je fakt, že frekvence změn je tak vysoká, že ji lidské oko nemůže zaznamenat.</w:t>
      </w:r>
    </w:p>
    <w:p w:rsidR="00C73FF0" w:rsidRPr="00A02F34" w:rsidRDefault="00A02F34" w:rsidP="00A02F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F34">
        <w:rPr>
          <w:rFonts w:ascii="Times New Roman" w:hAnsi="Times New Roman" w:cs="Times New Roman"/>
          <w:sz w:val="24"/>
          <w:szCs w:val="24"/>
        </w:rPr>
        <w:t>f</w:t>
      </w:r>
      <w:r w:rsidR="00C73FF0" w:rsidRPr="00A02F34">
        <w:rPr>
          <w:rFonts w:ascii="Times New Roman" w:hAnsi="Times New Roman" w:cs="Times New Roman"/>
          <w:sz w:val="24"/>
          <w:szCs w:val="24"/>
        </w:rPr>
        <w:t>rekvence viditelného světla – řádově 10</w:t>
      </w:r>
      <w:r w:rsidR="00C73FF0" w:rsidRPr="00A02F34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  <w:r w:rsidR="00C73FF0" w:rsidRPr="00A02F34">
        <w:rPr>
          <w:rFonts w:ascii="Times New Roman" w:hAnsi="Times New Roman" w:cs="Times New Roman"/>
          <w:sz w:val="24"/>
          <w:szCs w:val="24"/>
        </w:rPr>
        <w:t>Hz</w:t>
      </w:r>
    </w:p>
    <w:p w:rsidR="00C73FF0" w:rsidRPr="00C73FF0" w:rsidRDefault="00A02F34" w:rsidP="00C73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C73FF0">
        <w:rPr>
          <w:rFonts w:ascii="Times New Roman" w:hAnsi="Times New Roman" w:cs="Times New Roman"/>
          <w:sz w:val="24"/>
          <w:szCs w:val="24"/>
        </w:rPr>
        <w:t>rekvence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FF0">
        <w:rPr>
          <w:rFonts w:ascii="Times New Roman" w:hAnsi="Times New Roman" w:cs="Times New Roman"/>
          <w:sz w:val="24"/>
          <w:szCs w:val="24"/>
        </w:rPr>
        <w:t xml:space="preserve"> kterou rozliší oko – 24 změn za sekundu</w:t>
      </w:r>
    </w:p>
    <w:p w:rsidR="005D3012" w:rsidRDefault="005D3012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1F" w:rsidRDefault="00312ADC" w:rsidP="00312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ADC">
        <w:rPr>
          <w:rFonts w:ascii="Times New Roman" w:hAnsi="Times New Roman" w:cs="Times New Roman"/>
          <w:sz w:val="24"/>
          <w:szCs w:val="24"/>
        </w:rPr>
        <w:t>Abychom jev interference „zviditelnili“, musíme</w:t>
      </w:r>
      <w:r>
        <w:rPr>
          <w:rFonts w:ascii="Times New Roman" w:hAnsi="Times New Roman" w:cs="Times New Roman"/>
          <w:sz w:val="24"/>
          <w:szCs w:val="24"/>
        </w:rPr>
        <w:t xml:space="preserve"> zabezpečit jisté vstupní podmínky:</w:t>
      </w:r>
    </w:p>
    <w:p w:rsidR="005D3012" w:rsidRPr="005D3012" w:rsidRDefault="005D3012" w:rsidP="005D3012">
      <w:pPr>
        <w:pStyle w:val="Odstavecseseznamem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3012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záření dopadající do jednoho bodu na stínítku musí mít stejnou vlnovou délku;</w:t>
      </w:r>
    </w:p>
    <w:p w:rsidR="005D3012" w:rsidRPr="005D3012" w:rsidRDefault="005D3012" w:rsidP="005D3012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30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daném bodě na stínítku  musí mít všechna záření stálý, s časem </w:t>
      </w:r>
      <w:r w:rsidRPr="005D3012">
        <w:rPr>
          <w:rFonts w:ascii="Times New Roman" w:hAnsi="Times New Roman" w:cs="Times New Roman"/>
          <w:sz w:val="24"/>
          <w:szCs w:val="24"/>
        </w:rPr>
        <w:t>neměnný dráhový rozdíl (tzn. také stálý fázový rozdíl).</w:t>
      </w:r>
      <w:r w:rsidRPr="005D30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2ADC" w:rsidRDefault="005D3012" w:rsidP="00312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012">
        <w:rPr>
          <w:rFonts w:ascii="Times New Roman" w:hAnsi="Times New Roman" w:cs="Times New Roman"/>
          <w:color w:val="FF0000"/>
          <w:sz w:val="24"/>
          <w:szCs w:val="24"/>
        </w:rPr>
        <w:t xml:space="preserve">Takovéto světelné </w:t>
      </w:r>
      <w:r>
        <w:rPr>
          <w:rFonts w:ascii="Times New Roman" w:hAnsi="Times New Roman" w:cs="Times New Roman"/>
          <w:color w:val="FF0000"/>
          <w:sz w:val="24"/>
          <w:szCs w:val="24"/>
        </w:rPr>
        <w:t>záření</w:t>
      </w:r>
      <w:r w:rsidRPr="005D3012">
        <w:rPr>
          <w:rFonts w:ascii="Times New Roman" w:hAnsi="Times New Roman" w:cs="Times New Roman"/>
          <w:color w:val="FF0000"/>
          <w:sz w:val="24"/>
          <w:szCs w:val="24"/>
        </w:rPr>
        <w:t xml:space="preserve"> nazýváme </w:t>
      </w:r>
      <w:r w:rsidRPr="00312ADC">
        <w:rPr>
          <w:rFonts w:ascii="Times New Roman" w:hAnsi="Times New Roman" w:cs="Times New Roman"/>
          <w:color w:val="FF0000"/>
          <w:sz w:val="24"/>
          <w:szCs w:val="24"/>
        </w:rPr>
        <w:t>koherentní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012" w:rsidRDefault="005D3012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413" w:rsidRDefault="005D3012" w:rsidP="00312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Jev můžeme pozorovat například na ultratenkých vrstvách. Konkrétním případem je třeba olejová nebo benzínová vrstvička na kaluži vody</w:t>
      </w:r>
      <w:r w:rsidR="00D51855">
        <w:rPr>
          <w:rFonts w:ascii="Times New Roman" w:hAnsi="Times New Roman" w:cs="Times New Roman"/>
          <w:sz w:val="24"/>
          <w:szCs w:val="24"/>
        </w:rPr>
        <w:t>. Zde pak pozorujeme barevné skvrny podle toho, která vlnová délka se zesiluje nebo zeslabuje (kde dochází k interferenčnímu minimu či maximu)</w:t>
      </w:r>
    </w:p>
    <w:p w:rsidR="00E55074" w:rsidRDefault="00E55074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074" w:rsidRDefault="00E55074" w:rsidP="00E55074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22511A">
        <w:rPr>
          <w:rFonts w:ascii="Times New Roman" w:hAnsi="Times New Roman" w:cs="Times New Roman"/>
          <w:noProof/>
          <w:sz w:val="24"/>
          <w:szCs w:val="24"/>
          <w:lang w:eastAsia="cs-CZ"/>
        </w:rPr>
        <w:t>Interferenční maximum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(zesílení) nastane  Δ d = n . λ</w:t>
      </w:r>
    </w:p>
    <w:p w:rsidR="00E55074" w:rsidRPr="0022511A" w:rsidRDefault="00E55074" w:rsidP="00E55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Interferwnční minimum (zeslabení, vymizeni) Δ d = (2n – 1) 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λ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2</m:t>
            </m:r>
          </m:den>
        </m:f>
      </m:oMath>
    </w:p>
    <w:p w:rsidR="00E55074" w:rsidRDefault="00E55074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012" w:rsidRPr="00CE4413" w:rsidRDefault="00CE4413" w:rsidP="00312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Jev pak využíváme k určení tloušťky </w:t>
      </w:r>
      <w:r w:rsidRPr="00CE4413">
        <w:rPr>
          <w:rFonts w:ascii="Times New Roman" w:hAnsi="Times New Roman" w:cs="Times New Roman"/>
          <w:i/>
          <w:color w:val="00B0F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těchto ultratenkých vrstev</w:t>
      </w:r>
    </w:p>
    <w:p w:rsidR="000F1BAA" w:rsidRDefault="000F1BAA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012" w:rsidRDefault="005D3012" w:rsidP="00312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086225" cy="2990850"/>
            <wp:effectExtent l="0" t="0" r="9525" b="0"/>
            <wp:docPr id="1" name="Obrázek 1" descr="http://www.gymhol.cz/projekt/fyzika/08_interf/08_interf_soubory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hol.cz/projekt/fyzika/08_interf/08_interf_soubory/image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BAA" w:rsidRDefault="000F1BAA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BAA" w:rsidRPr="000F1BAA" w:rsidRDefault="000F1BAA" w:rsidP="000F1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1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Interference na tenké vrstvě se využívá např. ke kontrole opracování rovinných a kulových ploch nebo k měření vlnové délky světla. V obou případech se používají tzv. </w:t>
      </w:r>
      <w:r w:rsidRPr="000F1BAA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Newtonova skla</w:t>
      </w:r>
      <w:r w:rsidRPr="000F1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je planparalelní skleněná deska a ploskovypuklá čočka s velkým poloměrem křivosti. V okolí místa čočky a skleněné desky se nachází vzduchová vrstva proměnné tloušťky. Pokud </w:t>
      </w:r>
      <w:r w:rsidRPr="000F1BA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 tuto soustavu skel necháme dopadat monochromatické světlo, vznikne charakteristický interferenční obrazec – </w:t>
      </w:r>
      <w:r w:rsidRPr="000F1BAA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Newtonovy kroužky</w:t>
      </w:r>
      <w:r w:rsidRPr="000F1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(obr. 7, 8). Uplatňuje se také  při výrobě antireflexních vrstev na povrch čoček</w:t>
      </w:r>
      <w:r w:rsidR="00CE441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F1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určených např. pro fotoaparáty, kamery, …</w:t>
      </w:r>
    </w:p>
    <w:p w:rsidR="000F1BAA" w:rsidRDefault="000F1BAA" w:rsidP="00312ADC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                      </w:t>
      </w:r>
      <w:r>
        <w:rPr>
          <w:noProof/>
          <w:lang w:eastAsia="cs-CZ"/>
        </w:rPr>
        <w:drawing>
          <wp:inline distT="0" distB="0" distL="0" distR="0" wp14:anchorId="3CAD2E0C" wp14:editId="5ACC639D">
            <wp:extent cx="1390650" cy="1790700"/>
            <wp:effectExtent l="0" t="0" r="0" b="0"/>
            <wp:docPr id="2" name="Obrázek 2" descr="http://www.gymhol.cz/projekt/fyzika/08_interf/08_interf_soubory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hol.cz/projekt/fyzika/08_interf/08_interf_soubory/image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</w:t>
      </w:r>
      <w:r>
        <w:rPr>
          <w:noProof/>
          <w:lang w:eastAsia="cs-CZ"/>
        </w:rPr>
        <w:drawing>
          <wp:inline distT="0" distB="0" distL="0" distR="0" wp14:anchorId="6E167565" wp14:editId="6EA28B17">
            <wp:extent cx="1066800" cy="1085850"/>
            <wp:effectExtent l="0" t="0" r="0" b="0"/>
            <wp:docPr id="3" name="Obrázek 3" descr="http://www.gymhol.cz/projekt/fyzika/08_interf/08_interf_soubory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ymhol.cz/projekt/fyzika/08_interf/08_interf_soubory/image0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74" w:rsidRDefault="00E55074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2511A" w:rsidRDefault="00E55074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Dále interferenci vzužíváme např pro určování vlastností minerálů a technických krystalických látek.</w:t>
      </w:r>
    </w:p>
    <w:p w:rsidR="00E55074" w:rsidRDefault="00E55074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77659" w:rsidRDefault="00677659" w:rsidP="00E5507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7659" w:rsidRDefault="00677659" w:rsidP="00E5507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5074" w:rsidRDefault="00E55074" w:rsidP="00E5507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Ohyb (difrakce)</w:t>
      </w:r>
    </w:p>
    <w:p w:rsidR="00E55074" w:rsidRDefault="00E55074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Je pronikání světla do míst, kam by se dle principu přímočarého šíření světla dosta nemělo.</w:t>
      </w:r>
    </w:p>
    <w:p w:rsidR="00E55074" w:rsidRDefault="00E55074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(viz. 3. ročník)</w:t>
      </w:r>
    </w:p>
    <w:p w:rsidR="00E55074" w:rsidRDefault="00E55074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Stejně jako u interference je vznik jevu ovlivněn velmi malou vlnovou délkou – nastane jen na překážkách řádově srovnatelných velikostí s vlnovou délkou dopadajícího světla</w:t>
      </w:r>
      <w:r w:rsidR="00BF3E45">
        <w:rPr>
          <w:rFonts w:ascii="Times New Roman" w:hAnsi="Times New Roman" w:cs="Times New Roman"/>
          <w:noProof/>
          <w:sz w:val="24"/>
          <w:szCs w:val="24"/>
          <w:lang w:eastAsia="cs-CZ"/>
        </w:rPr>
        <w:t>. Jev, který na překážce vznikne je obdobný jako při interferenci – odchýlený paprsek interferuje s prošlým a vznikají minima a maxima, tj. světlé a tmavé proužky.</w:t>
      </w:r>
    </w:p>
    <w:p w:rsidR="00BF3E45" w:rsidRPr="00BF3E45" w:rsidRDefault="00BF3E45" w:rsidP="00BF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3E45">
        <w:rPr>
          <w:rFonts w:ascii="Times New Roman" w:eastAsia="Times New Roman" w:hAnsi="Times New Roman" w:cs="Times New Roman"/>
          <w:sz w:val="24"/>
          <w:szCs w:val="24"/>
          <w:lang w:eastAsia="cs-CZ"/>
        </w:rPr>
        <w:t>Ohybové jevy můžeme rozdělit na dvě základní skupiny:</w:t>
      </w:r>
    </w:p>
    <w:p w:rsidR="00BF3E45" w:rsidRPr="00BF3E45" w:rsidRDefault="00BF3E45" w:rsidP="00BF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3E45" w:rsidRPr="00BF3E45" w:rsidRDefault="00BF3E45" w:rsidP="00BF3E4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3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Fresnelovy ohybové jevy byly pojmenovány podle francouzského fyzika </w:t>
      </w:r>
      <w:hyperlink r:id="rId9" w:tgtFrame="_blank" w:history="1">
        <w:r w:rsidRPr="00BF3E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Augustina Jeana Fresnela</w:t>
        </w:r>
      </w:hyperlink>
      <w:r w:rsidRPr="00BF3E4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jako první podal jejich úplné vysvětlení. Jejich popis vychází z Huygensova-Fresnelova principu, podle něhož se každý bod vlnoplochy stává zdrojem elementárního světelného vlnění; tyto vlnění pak dopadají do každého bodu na stínítku s různou fází, skládají se a vytvářejí interferenční obrazec. Tzn., že kromě zdroje světla, překážky a stínítka se zde  nevyskytuje žádný další optický prvek (např. čočka).</w:t>
      </w:r>
    </w:p>
    <w:p w:rsidR="00BF3E45" w:rsidRPr="00BF3E45" w:rsidRDefault="00BF3E45" w:rsidP="00BF3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3E45" w:rsidRPr="00BF3E45" w:rsidRDefault="00BF3E45" w:rsidP="00BF3E4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3E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Fraunhoferovy ohybové jevy  jsou takové ohybové jevy, které vznikají při zobrazení zdrojů světla optickými soustavami. Pomocí čoček se na stínítku vytvoří obraz zdroje světla a do svazku paprsků, které vytvářejí obraz zdroje, se vloží překážka. Elementární vlnění z okrajů překážky nedopadají přímo na stínítko, ale procházejí další spojnou čočkou, která je soustředí do jednotlivých bodů stínítka. jejich popisu se věnoval </w:t>
      </w:r>
      <w:hyperlink r:id="rId10" w:tgtFrame="_blank" w:history="1">
        <w:r w:rsidRPr="00BF3E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Joseph von Fraunhofer</w:t>
        </w:r>
      </w:hyperlink>
      <w:r w:rsidRPr="00BF3E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77659" w:rsidRDefault="00677659" w:rsidP="00312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E45" w:rsidRPr="00677659" w:rsidRDefault="00677659" w:rsidP="00312ADC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Nejčastěji pozorujeme ohybové jevy na optické mřížce. Je tvořena s</w:t>
      </w:r>
      <w:r w:rsidRPr="00677659">
        <w:rPr>
          <w:rFonts w:ascii="Times New Roman" w:hAnsi="Times New Roman" w:cs="Times New Roman"/>
          <w:sz w:val="24"/>
          <w:szCs w:val="24"/>
        </w:rPr>
        <w:t>oustav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659">
        <w:rPr>
          <w:rFonts w:ascii="Times New Roman" w:hAnsi="Times New Roman" w:cs="Times New Roman"/>
          <w:sz w:val="24"/>
          <w:szCs w:val="24"/>
        </w:rPr>
        <w:t>u velkého počtu štěrbin. Jejími základními parametry jsou: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59">
        <w:rPr>
          <w:rFonts w:ascii="Times New Roman" w:hAnsi="Times New Roman" w:cs="Times New Roman"/>
          <w:sz w:val="24"/>
          <w:szCs w:val="24"/>
        </w:rPr>
        <w:t xml:space="preserve">šířka štěrbiny </w:t>
      </w:r>
      <w:r w:rsidRPr="0067765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7659">
        <w:rPr>
          <w:rFonts w:ascii="Times New Roman" w:hAnsi="Times New Roman" w:cs="Times New Roman"/>
          <w:sz w:val="24"/>
          <w:szCs w:val="24"/>
        </w:rPr>
        <w:t xml:space="preserve"> a vzdálenost středů sousedních štěrbin – tzv. mřížková konstanta </w:t>
      </w:r>
      <w:r w:rsidRPr="0067765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7659">
        <w:rPr>
          <w:rFonts w:ascii="Times New Roman" w:hAnsi="Times New Roman" w:cs="Times New Roman"/>
          <w:sz w:val="24"/>
          <w:szCs w:val="24"/>
        </w:rPr>
        <w:t>. Optické mřížky se vyrábějí dvěma základními způsoby: rytím nebo holografickou metodou.</w:t>
      </w:r>
      <w:r>
        <w:rPr>
          <w:rFonts w:ascii="Times New Roman" w:hAnsi="Times New Roman" w:cs="Times New Roman"/>
          <w:sz w:val="24"/>
          <w:szCs w:val="24"/>
        </w:rPr>
        <w:t xml:space="preserve"> Na stínítku pak pozorujeme interferenční obrazce tvořené minimy a maximy zesílených maxim jednotlivých barev, pozorujeme-li jev v bílém světle.</w:t>
      </w:r>
    </w:p>
    <w:sectPr w:rsidR="00BF3E45" w:rsidRPr="00677659" w:rsidSect="002251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C83"/>
    <w:multiLevelType w:val="hybridMultilevel"/>
    <w:tmpl w:val="60284446"/>
    <w:lvl w:ilvl="0" w:tplc="BAA8747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B365320"/>
    <w:multiLevelType w:val="hybridMultilevel"/>
    <w:tmpl w:val="2B72339C"/>
    <w:lvl w:ilvl="0" w:tplc="A58A533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F1B21D0"/>
    <w:multiLevelType w:val="hybridMultilevel"/>
    <w:tmpl w:val="812870E4"/>
    <w:lvl w:ilvl="0" w:tplc="32100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3939"/>
    <w:multiLevelType w:val="hybridMultilevel"/>
    <w:tmpl w:val="14B25A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D34DE"/>
    <w:multiLevelType w:val="hybridMultilevel"/>
    <w:tmpl w:val="2C68FB8C"/>
    <w:lvl w:ilvl="0" w:tplc="C6B22B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33CC520C"/>
    <w:multiLevelType w:val="hybridMultilevel"/>
    <w:tmpl w:val="B888F1C8"/>
    <w:lvl w:ilvl="0" w:tplc="97366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160D4"/>
    <w:multiLevelType w:val="hybridMultilevel"/>
    <w:tmpl w:val="C16CBE38"/>
    <w:lvl w:ilvl="0" w:tplc="EDC2B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F13D9"/>
    <w:multiLevelType w:val="hybridMultilevel"/>
    <w:tmpl w:val="5DE23A7C"/>
    <w:lvl w:ilvl="0" w:tplc="97BA5DB8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FE"/>
    <w:rsid w:val="000F1BAA"/>
    <w:rsid w:val="0022511A"/>
    <w:rsid w:val="002E721F"/>
    <w:rsid w:val="00312ADC"/>
    <w:rsid w:val="003B44E5"/>
    <w:rsid w:val="005D3012"/>
    <w:rsid w:val="00677659"/>
    <w:rsid w:val="00A02F34"/>
    <w:rsid w:val="00BF3E45"/>
    <w:rsid w:val="00C73FF0"/>
    <w:rsid w:val="00CE4413"/>
    <w:rsid w:val="00D51855"/>
    <w:rsid w:val="00E55074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F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0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2511A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BF3E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F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0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2511A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BF3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Joseph_Von_Fraunhof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ugustin_Jean_Fresne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OEM</cp:lastModifiedBy>
  <cp:revision>2</cp:revision>
  <dcterms:created xsi:type="dcterms:W3CDTF">2014-04-02T13:17:00Z</dcterms:created>
  <dcterms:modified xsi:type="dcterms:W3CDTF">2014-04-02T13:17:00Z</dcterms:modified>
</cp:coreProperties>
</file>